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BVGE 2022 VII/3 vom 13. Juni 2022</w:t>
      </w:r>
    </w:p>
    <w:p>
      <w:r>
        <w:t>Bundesverwaltungsgericht, 2022-06-13, IT</w:t>
      </w:r>
    </w:p>
    <w:p>
      <w:r>
        <w:rPr>
          <w:b/>
        </w:rPr>
        <w:t xml:space="preserve">Quelle: </w:t>
      </w:r>
      <w:r>
        <w:t>https://mcp.opencaselaw.ch/entscheid/bvger_BVGE 2022 VII_3</w:t>
      </w:r>
    </w:p>
    <w:p>
      <w:r>
        <w:t>FR: TAF BVGE 2022 VII/3 du 13 juin 2022</w:t>
      </w:r>
    </w:p>
    <w:p>
      <w:r>
        <w:t>IT: TAF BVGE 2022 VII/3 del 13 giugno 2022</w:t>
      </w:r>
    </w:p>
    <w:p>
      <w:pPr>
        <w:pStyle w:val="Heading2"/>
      </w:pPr>
      <w:r>
        <w:t>Regeste</w:t>
      </w:r>
    </w:p>
    <w:p>
      <w:r>
        <w:t>Divieto d'entrata Fedpol</w:t>
      </w:r>
    </w:p>
    <w:p>
      <w:pPr>
        <w:pStyle w:val="Heading2"/>
      </w:pPr>
      <w:r>
        <w:t>Erwägungen</w:t>
      </w:r>
    </w:p>
    <w:p>
      <w:r>
        <w:rPr>
          <w:b/>
        </w:rPr>
        <w:t>E. 1</w:t>
      </w:r>
    </w:p>
    <w:p>
      <w:r>
        <w:t>Voraussetzungen für den Erlass eines Einreiseverbots nach Art. 67 Abs. 4 AIG gegen eine Person, die sich auf die im FZA verankerten Rechte berufen kann. Präzisierung des Begriffs der inneren und äusseren Sicherheit der Schweiz (E. 7-8).</w:t>
      </w:r>
    </w:p>
    <w:p>
      <w:r>
        <w:rPr>
          <w:b/>
        </w:rPr>
        <w:t>E. 2</w:t>
      </w:r>
    </w:p>
    <w:p>
      <w:r>
        <w:t>Aufgabe und Ermessensspielraum des fedpol. Handlungen, die die innere und äussere Sicherheit der Schweiz im Sinne von Art. 67 Abs. 4 AIG bedrohen (E. 9-10).</w:t>
      </w:r>
    </w:p>
    <w:p>
      <w:r>
        <w:rPr>
          <w:b/>
        </w:rPr>
        <w:t>E. 3</w:t>
      </w:r>
    </w:p>
    <w:p>
      <w:r>
        <w:t>Überzeugung des Gerichts und Beweismass. Unterschiede zwischen Straf- und Verwaltungsrecht. Unschuldsvermutung (E. 13).</w:t>
      </w:r>
    </w:p>
    <w:p>
      <w:r>
        <w:rPr>
          <w:b/>
        </w:rPr>
        <w:t>E. 4</w:t>
      </w:r>
    </w:p>
    <w:p>
      <w:r>
        <w:t>Zur Substanziierung einer Bedrohung der inneren und äusseren Sicherheit auf administrativer Ebene genügt die fundierte Darlegung hinreichend konkreter Risikofaktoren. Die Verwaltung ist nicht verpflichtet nachzuweisen, dass Straftaten begangen worden sind (E. 13.5).</w:t>
      </w:r>
    </w:p>
    <w:p>
      <w:r>
        <w:rPr>
          <w:b/>
        </w:rPr>
        <w:t>E. 5</w:t>
      </w:r>
    </w:p>
    <w:p>
      <w:r>
        <w:t>Risikofaktoren im konkreten Fall: Verurteilungen wegen geringfügiger Straftaten; mehrfache Missachtung von Präventivmassnahmen; häufige Erwähnung in italienischen Gerichtsakten (E. 14-16).</w:t>
      </w:r>
    </w:p>
    <w:p>
      <w:r>
        <w:t>Eidgenossenschaft Bundesverwaltungsgericht Conféderation Bundesverwaltungsgericht Confederazione Bundesverwaltungsgericht Abteilung VI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